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D69B835" w14:textId="77777777" w:rsidR="00E2197B" w:rsidRDefault="00E2197B" w:rsidP="00E2197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2197B">
        <w:rPr>
          <w:rFonts w:asciiTheme="majorBidi" w:hAnsiTheme="majorBidi" w:cstheme="majorBidi"/>
          <w:b/>
          <w:bCs/>
          <w:sz w:val="24"/>
          <w:szCs w:val="24"/>
        </w:rPr>
        <w:t>Management Analytics and Social Insights</w:t>
      </w:r>
    </w:p>
    <w:p w14:paraId="01322169" w14:textId="2D700482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A073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ADA1" w14:textId="77777777" w:rsidR="00A0731C" w:rsidRDefault="00A0731C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2190CFDA" w14:textId="77777777" w:rsidR="00A0731C" w:rsidRDefault="00A0731C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EF1A" w14:textId="77777777" w:rsidR="00A0731C" w:rsidRDefault="00A0731C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2F76C2E2" w14:textId="77777777" w:rsidR="00A0731C" w:rsidRDefault="00A0731C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0731C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2197B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1502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2024-07-13T08:41:00Z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